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E54F9B" w:rsidP="00CF1133">
      <w:pPr>
        <w:ind w:left="-710" w:firstLine="695"/>
        <w:rPr>
          <w:b/>
          <w:bCs/>
        </w:rPr>
      </w:pPr>
    </w:p>
    <w:p w:rsidR="00CF1133" w:rsidRDefault="00E54F9B" w:rsidP="00CF1133">
      <w:pPr>
        <w:ind w:left="-710" w:firstLine="695"/>
        <w:rPr>
          <w:b/>
          <w:bCs/>
        </w:rPr>
      </w:pPr>
      <w:r>
        <w:rPr>
          <w:b/>
          <w:bCs/>
        </w:rPr>
        <w:t>LEP – Sub Committee</w:t>
      </w:r>
    </w:p>
    <w:p w:rsidR="00BE3AA8" w:rsidRDefault="00E54F9B" w:rsidP="00CF1133">
      <w:pPr>
        <w:ind w:left="-710" w:firstLine="695"/>
        <w:rPr>
          <w:b/>
          <w:bCs/>
        </w:rPr>
      </w:pPr>
    </w:p>
    <w:p w:rsidR="00BE3AA8" w:rsidRDefault="00E54F9B"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Performance Committee</w:t>
      </w:r>
      <w:r>
        <w:rPr>
          <w:rFonts w:eastAsia="Times New Roman" w:cs="Times New Roman"/>
          <w:b/>
          <w:color w:val="auto"/>
          <w:szCs w:val="20"/>
        </w:rPr>
        <w:fldChar w:fldCharType="end"/>
      </w:r>
    </w:p>
    <w:p w:rsidR="00CF1133" w:rsidRPr="00BC4466" w:rsidRDefault="00E54F9B" w:rsidP="00CF1133">
      <w:pPr>
        <w:spacing w:after="0" w:line="256" w:lineRule="auto"/>
        <w:ind w:left="0" w:firstLine="0"/>
        <w:rPr>
          <w:b/>
          <w:bCs/>
        </w:rPr>
      </w:pPr>
    </w:p>
    <w:p w:rsidR="00BC4466" w:rsidRPr="00BC4466" w:rsidRDefault="00E54F9B" w:rsidP="00CF1133">
      <w:pPr>
        <w:spacing w:after="0" w:line="256" w:lineRule="auto"/>
        <w:ind w:left="0" w:firstLine="0"/>
        <w:rPr>
          <w:b/>
          <w:bCs/>
        </w:rPr>
      </w:pPr>
      <w:r w:rsidRPr="00BC4466">
        <w:rPr>
          <w:b/>
        </w:rPr>
        <w:t xml:space="preserve">Private and Confidential: </w:t>
      </w:r>
      <w:r>
        <w:rPr>
          <w:b/>
        </w:rPr>
        <w:t>NO</w:t>
      </w:r>
    </w:p>
    <w:p w:rsidR="00BC4466" w:rsidRDefault="00E54F9B" w:rsidP="00CF1133">
      <w:pPr>
        <w:spacing w:after="0" w:line="256" w:lineRule="auto"/>
        <w:ind w:left="0" w:firstLine="0"/>
      </w:pPr>
    </w:p>
    <w:p w:rsidR="00A3358A" w:rsidRDefault="00E54F9B" w:rsidP="00A3358A">
      <w:r w:rsidRPr="00C1436E">
        <w:rPr>
          <w:b/>
        </w:rPr>
        <w:t>Date:</w:t>
      </w:r>
      <w:r>
        <w:t xml:space="preserve"> </w:t>
      </w:r>
      <w:r>
        <w:fldChar w:fldCharType="begin"/>
      </w:r>
      <w:r>
        <w:instrText xml:space="preserve"> DOCPROPERTY  MeetingDate  \* MERGEFORMAT </w:instrText>
      </w:r>
      <w:r>
        <w:fldChar w:fldCharType="separate"/>
      </w:r>
      <w:r>
        <w:t>Tuesday, 22 May 2018</w:t>
      </w:r>
      <w:r>
        <w:fldChar w:fldCharType="end"/>
      </w:r>
    </w:p>
    <w:p w:rsidR="00A3358A" w:rsidRDefault="00E54F9B" w:rsidP="00A3358A"/>
    <w:p w:rsidR="00A3358A" w:rsidRDefault="00E54F9B"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 xml:space="preserve">Performance </w:t>
      </w:r>
      <w:r>
        <w:rPr>
          <w:b/>
        </w:rPr>
        <w:t xml:space="preserve">Committee - </w:t>
      </w:r>
      <w:r>
        <w:rPr>
          <w:b/>
        </w:rPr>
        <w:t xml:space="preserve">Terms of Reference </w:t>
      </w:r>
      <w:r>
        <w:rPr>
          <w:b/>
        </w:rPr>
        <w:fldChar w:fldCharType="end"/>
      </w:r>
    </w:p>
    <w:p w:rsidR="00A3358A" w:rsidRDefault="00E54F9B" w:rsidP="00A3358A">
      <w:pPr>
        <w:ind w:left="0" w:firstLine="0"/>
      </w:pPr>
      <w:r>
        <w:t>(Appendix 'A' refers)</w:t>
      </w:r>
    </w:p>
    <w:p w:rsidR="00D7480F" w:rsidRDefault="00E54F9B" w:rsidP="00CF1133">
      <w:pPr>
        <w:spacing w:after="0" w:line="256" w:lineRule="auto"/>
        <w:ind w:left="0" w:firstLine="0"/>
      </w:pPr>
    </w:p>
    <w:p w:rsidR="00F41096" w:rsidRPr="00F41096" w:rsidRDefault="00E54F9B"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CF1133" w:rsidRPr="002B3CC5" w:rsidRDefault="00E54F9B" w:rsidP="002B3CC5">
      <w:pPr>
        <w:ind w:right="-873"/>
        <w:rPr>
          <w:b/>
        </w:rPr>
      </w:pPr>
      <w:r>
        <w:rPr>
          <w:b/>
        </w:rPr>
        <w:fldChar w:fldCharType="begin"/>
      </w:r>
      <w:r>
        <w:rPr>
          <w:b/>
        </w:rPr>
        <w:instrText xml:space="preserve"> DOCPROPERTY  LeadOfficerEmail  \* MERGEFORMAT </w:instrText>
      </w:r>
      <w:r>
        <w:rPr>
          <w:b/>
        </w:rPr>
        <w:fldChar w:fldCharType="separate"/>
      </w:r>
      <w:r>
        <w:rPr>
          <w:b/>
        </w:rPr>
        <w:t>kat</w:t>
      </w:r>
      <w:r>
        <w:rPr>
          <w:b/>
        </w:rPr>
        <w:t>hryn.molloy@lancashire.gov.uk</w:t>
      </w:r>
      <w:r>
        <w:rPr>
          <w:b/>
        </w:rPr>
        <w:fldChar w:fldCharType="end"/>
      </w:r>
    </w:p>
    <w:p w:rsidR="002B3CC5" w:rsidRDefault="00E54F9B"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E34AD" w:rsidTr="008B5354">
        <w:tc>
          <w:tcPr>
            <w:tcW w:w="9180" w:type="dxa"/>
          </w:tcPr>
          <w:p w:rsidR="002B3CC5" w:rsidRDefault="00E54F9B" w:rsidP="00E54F9B">
            <w:pPr>
              <w:pStyle w:val="Header"/>
              <w:jc w:val="both"/>
            </w:pPr>
          </w:p>
          <w:p w:rsidR="00857841" w:rsidRPr="00E06D47" w:rsidRDefault="00E54F9B" w:rsidP="00E54F9B">
            <w:pPr>
              <w:pStyle w:val="ParaAttribute7"/>
              <w:spacing w:line="249" w:lineRule="auto"/>
              <w:jc w:val="both"/>
              <w:rPr>
                <w:rFonts w:ascii="Arial" w:eastAsia="Arial" w:hAnsi="Arial"/>
                <w:sz w:val="24"/>
                <w:szCs w:val="24"/>
              </w:rPr>
            </w:pPr>
            <w:r w:rsidRPr="00E06D47">
              <w:rPr>
                <w:rStyle w:val="CharAttribute10"/>
                <w:szCs w:val="24"/>
              </w:rPr>
              <w:t>Executive Summary</w:t>
            </w:r>
          </w:p>
          <w:p w:rsidR="00857841" w:rsidRPr="00E06D47" w:rsidRDefault="00E54F9B" w:rsidP="00E54F9B">
            <w:pPr>
              <w:pStyle w:val="ParaAttribute2"/>
              <w:spacing w:line="249" w:lineRule="auto"/>
              <w:jc w:val="both"/>
              <w:rPr>
                <w:rFonts w:ascii="Arial" w:eastAsia="Calibri" w:hAnsi="Arial"/>
                <w:sz w:val="24"/>
                <w:szCs w:val="24"/>
              </w:rPr>
            </w:pPr>
          </w:p>
          <w:p w:rsidR="00857841" w:rsidRDefault="00E54F9B" w:rsidP="00E54F9B">
            <w:pPr>
              <w:pStyle w:val="NoSpacing"/>
              <w:jc w:val="both"/>
            </w:pPr>
            <w:r>
              <w:t xml:space="preserve">Following the appointment of a new Chair to the Lancashire Enterprise Partnership's </w:t>
            </w:r>
            <w:r w:rsidRPr="00E06D47">
              <w:t>Performance Committee, the Co</w:t>
            </w:r>
            <w:r>
              <w:t xml:space="preserve">mmittee is requested to note the Committee's current </w:t>
            </w:r>
            <w:r w:rsidRPr="00E06D47">
              <w:t xml:space="preserve">Terms of Reference as approved by the Lancashire Enterprise Partnership within the </w:t>
            </w:r>
            <w:r>
              <w:t>Lancashire Enterprise Partnership's</w:t>
            </w:r>
            <w:r w:rsidRPr="00E06D47">
              <w:t xml:space="preserve"> </w:t>
            </w:r>
            <w:r>
              <w:t xml:space="preserve">updated </w:t>
            </w:r>
            <w:r w:rsidRPr="00E06D47">
              <w:t>Assurance Framework.</w:t>
            </w:r>
          </w:p>
          <w:p w:rsidR="00E3037F" w:rsidRDefault="00E54F9B" w:rsidP="00E54F9B">
            <w:pPr>
              <w:pStyle w:val="NoSpacing"/>
              <w:jc w:val="both"/>
            </w:pPr>
          </w:p>
          <w:p w:rsidR="00E3037F" w:rsidRPr="00E06D47" w:rsidRDefault="00E54F9B" w:rsidP="00E54F9B">
            <w:pPr>
              <w:pStyle w:val="NoSpacing"/>
              <w:jc w:val="both"/>
            </w:pPr>
            <w:r>
              <w:t>The Committee is also asked to consider and review its key areas of activity, specifically the collation an</w:t>
            </w:r>
            <w:r>
              <w:t>d reporting of KPIs relating to the Lancashire Enterprise Partnership's key economic initiatives, regular attendance at the Performance Committee by other Committee Chairs, management of the LEP's Risk Register and managing compliance in relation to the LE</w:t>
            </w:r>
            <w:r>
              <w:t>P's governance and accountability requirements as identified in the Assurance Framework and other national guidance.</w:t>
            </w:r>
          </w:p>
          <w:p w:rsidR="00857841" w:rsidRDefault="00E54F9B" w:rsidP="00E54F9B">
            <w:pPr>
              <w:pStyle w:val="ParaAttribute9"/>
              <w:spacing w:line="249" w:lineRule="auto"/>
              <w:jc w:val="both"/>
              <w:rPr>
                <w:rFonts w:ascii="Arial" w:eastAsia="Calibri" w:hAnsi="Arial"/>
              </w:rPr>
            </w:pPr>
          </w:p>
          <w:p w:rsidR="00857841" w:rsidRDefault="00E54F9B" w:rsidP="00E54F9B">
            <w:pPr>
              <w:pStyle w:val="ParaAttribute7"/>
              <w:spacing w:line="249" w:lineRule="auto"/>
              <w:jc w:val="both"/>
              <w:rPr>
                <w:rFonts w:ascii="Arial" w:eastAsia="Arial" w:hAnsi="Arial"/>
              </w:rPr>
            </w:pPr>
            <w:r>
              <w:rPr>
                <w:rStyle w:val="CharAttribute10"/>
                <w:szCs w:val="24"/>
              </w:rPr>
              <w:t>Recommendation</w:t>
            </w:r>
          </w:p>
          <w:p w:rsidR="00857841" w:rsidRDefault="00E54F9B" w:rsidP="00E54F9B">
            <w:pPr>
              <w:pStyle w:val="ParaAttribute2"/>
              <w:spacing w:line="249" w:lineRule="auto"/>
              <w:jc w:val="both"/>
              <w:rPr>
                <w:rFonts w:ascii="Arial" w:eastAsia="Calibri" w:hAnsi="Arial"/>
              </w:rPr>
            </w:pPr>
          </w:p>
          <w:p w:rsidR="00E3037F" w:rsidRPr="00E3037F" w:rsidRDefault="00E54F9B" w:rsidP="00E54F9B">
            <w:pPr>
              <w:pStyle w:val="ParaAttribute2"/>
              <w:spacing w:line="249" w:lineRule="auto"/>
              <w:ind w:left="0" w:firstLine="0"/>
              <w:jc w:val="both"/>
              <w:rPr>
                <w:rStyle w:val="CharAttribute11"/>
                <w:rFonts w:hAnsi="Arial" w:cs="Arial"/>
                <w:szCs w:val="24"/>
              </w:rPr>
            </w:pPr>
            <w:r>
              <w:rPr>
                <w:rStyle w:val="CharAttribute11"/>
                <w:szCs w:val="24"/>
              </w:rPr>
              <w:t>Th</w:t>
            </w:r>
            <w:r w:rsidRPr="008D6BDD">
              <w:rPr>
                <w:rStyle w:val="CharAttribute11"/>
                <w:rFonts w:hAnsi="Arial" w:cs="Arial"/>
                <w:szCs w:val="24"/>
              </w:rPr>
              <w:t>e Performance Committee is asked to:</w:t>
            </w:r>
          </w:p>
          <w:p w:rsidR="00E3037F" w:rsidRPr="008D6BDD" w:rsidRDefault="00E54F9B" w:rsidP="00E54F9B">
            <w:pPr>
              <w:pStyle w:val="ParaAttribute2"/>
              <w:spacing w:line="249" w:lineRule="auto"/>
              <w:ind w:left="0" w:firstLine="0"/>
              <w:jc w:val="both"/>
              <w:rPr>
                <w:rStyle w:val="CharAttribute11"/>
                <w:rFonts w:hAnsi="Arial" w:cs="Arial"/>
                <w:szCs w:val="24"/>
              </w:rPr>
            </w:pPr>
          </w:p>
          <w:p w:rsidR="00E54F9B" w:rsidRDefault="00E54F9B" w:rsidP="00E54F9B">
            <w:pPr>
              <w:pStyle w:val="ListParagraph"/>
              <w:numPr>
                <w:ilvl w:val="0"/>
                <w:numId w:val="5"/>
              </w:numPr>
              <w:ind w:left="596" w:hanging="567"/>
              <w:jc w:val="both"/>
              <w:rPr>
                <w:rStyle w:val="CharAttribute11"/>
              </w:rPr>
            </w:pPr>
            <w:r w:rsidRPr="008D6BDD">
              <w:rPr>
                <w:rStyle w:val="CharAttribute11"/>
              </w:rPr>
              <w:t xml:space="preserve">note its Terms of  </w:t>
            </w:r>
            <w:r w:rsidRPr="008D6BDD">
              <w:rPr>
                <w:rStyle w:val="CharAttribute11"/>
              </w:rPr>
              <w:t>Reference as attached at</w:t>
            </w:r>
            <w:r>
              <w:rPr>
                <w:rStyle w:val="CharAttribute11"/>
              </w:rPr>
              <w:t xml:space="preserve"> Appendix 'A' to this report; and</w:t>
            </w:r>
          </w:p>
          <w:p w:rsidR="00E54F9B" w:rsidRDefault="00E54F9B" w:rsidP="00E54F9B">
            <w:pPr>
              <w:pStyle w:val="ListParagraph"/>
              <w:ind w:left="596" w:hanging="567"/>
              <w:jc w:val="both"/>
              <w:rPr>
                <w:rStyle w:val="CharAttribute11"/>
              </w:rPr>
            </w:pPr>
          </w:p>
          <w:p w:rsidR="002B3CC5" w:rsidRDefault="00E54F9B" w:rsidP="00E54F9B">
            <w:pPr>
              <w:pStyle w:val="ListParagraph"/>
              <w:numPr>
                <w:ilvl w:val="0"/>
                <w:numId w:val="5"/>
              </w:numPr>
              <w:ind w:left="596" w:hanging="567"/>
              <w:jc w:val="both"/>
            </w:pPr>
            <w:r w:rsidRPr="00E54F9B">
              <w:t xml:space="preserve">consider and review its key areas of activity, specifically the collation and </w:t>
            </w:r>
            <w:r w:rsidRPr="00E54F9B">
              <w:t>reporting of KPIs relating to the Lancashire Enterprise Partnership's key economic initiatives, regular attendance at the Performan</w:t>
            </w:r>
            <w:r>
              <w:t xml:space="preserve">ce Committee by other Committee </w:t>
            </w:r>
            <w:r w:rsidRPr="008D6BDD">
              <w:t xml:space="preserve">Chairs, </w:t>
            </w:r>
            <w:r w:rsidRPr="008D6BDD">
              <w:t>management of the LEP's Risk Register and managing compliance in</w:t>
            </w:r>
            <w:r>
              <w:t xml:space="preserve"> </w:t>
            </w:r>
            <w:r w:rsidRPr="008D6BDD">
              <w:t>relation to the LEP's governance and accountability requirements as identified in the Assurance Framework and other national guidance.</w:t>
            </w:r>
          </w:p>
          <w:p w:rsidR="008D6BDD" w:rsidRDefault="00E54F9B" w:rsidP="00E54F9B">
            <w:pPr>
              <w:ind w:left="0" w:firstLine="0"/>
              <w:jc w:val="both"/>
            </w:pPr>
          </w:p>
        </w:tc>
      </w:tr>
    </w:tbl>
    <w:p w:rsidR="00E54F9B" w:rsidRDefault="00E54F9B" w:rsidP="00E54F9B">
      <w:pPr>
        <w:pStyle w:val="Header"/>
        <w:ind w:left="0" w:firstLine="0"/>
        <w:jc w:val="both"/>
      </w:pPr>
    </w:p>
    <w:p w:rsidR="00E54F9B" w:rsidRDefault="00E54F9B" w:rsidP="00E54F9B">
      <w:pPr>
        <w:pStyle w:val="Header"/>
        <w:ind w:left="0" w:firstLine="0"/>
        <w:jc w:val="both"/>
      </w:pPr>
    </w:p>
    <w:p w:rsidR="00E54F9B" w:rsidRDefault="00E54F9B" w:rsidP="00E54F9B">
      <w:pPr>
        <w:pStyle w:val="Header"/>
        <w:ind w:left="0" w:firstLine="0"/>
        <w:jc w:val="both"/>
      </w:pPr>
    </w:p>
    <w:p w:rsidR="00E54F9B" w:rsidRDefault="00E54F9B" w:rsidP="00E54F9B">
      <w:pPr>
        <w:pStyle w:val="Header"/>
        <w:ind w:left="0" w:firstLine="0"/>
        <w:jc w:val="both"/>
      </w:pPr>
    </w:p>
    <w:p w:rsidR="00E54F9B" w:rsidRDefault="00E54F9B" w:rsidP="00E54F9B">
      <w:pPr>
        <w:pStyle w:val="Header"/>
        <w:ind w:left="0" w:firstLine="0"/>
        <w:jc w:val="both"/>
      </w:pPr>
      <w:bookmarkStart w:id="0" w:name="_GoBack"/>
      <w:bookmarkEnd w:id="0"/>
    </w:p>
    <w:p w:rsidR="00A3358A" w:rsidRDefault="00E54F9B" w:rsidP="00E54F9B">
      <w:pPr>
        <w:jc w:val="both"/>
        <w:rPr>
          <w:b/>
        </w:rPr>
      </w:pPr>
      <w:r>
        <w:rPr>
          <w:b/>
        </w:rPr>
        <w:lastRenderedPageBreak/>
        <w:t xml:space="preserve">Background and Advice </w:t>
      </w:r>
    </w:p>
    <w:p w:rsidR="00A3358A" w:rsidRDefault="00E54F9B" w:rsidP="00E54F9B">
      <w:pPr>
        <w:jc w:val="both"/>
        <w:rPr>
          <w:b/>
        </w:rPr>
      </w:pPr>
    </w:p>
    <w:p w:rsidR="00857841" w:rsidRDefault="00E54F9B" w:rsidP="00E54F9B">
      <w:pPr>
        <w:pStyle w:val="NoSpacing"/>
        <w:jc w:val="both"/>
        <w:rPr>
          <w:rStyle w:val="CharAttribute0"/>
          <w:b w:val="0"/>
        </w:rPr>
      </w:pPr>
      <w:r w:rsidRPr="00857841">
        <w:rPr>
          <w:rStyle w:val="CharAttribute0"/>
          <w:b w:val="0"/>
        </w:rPr>
        <w:t>As part of its Assurance Fram</w:t>
      </w:r>
      <w:r w:rsidRPr="00857841">
        <w:rPr>
          <w:rStyle w:val="CharAttribute0"/>
          <w:b w:val="0"/>
        </w:rPr>
        <w:t>ework approved by th</w:t>
      </w:r>
      <w:r>
        <w:rPr>
          <w:rStyle w:val="CharAttribute0"/>
          <w:b w:val="0"/>
        </w:rPr>
        <w:t xml:space="preserve">e Lancashire Enterprise Partnership </w:t>
      </w:r>
      <w:r w:rsidRPr="00857841">
        <w:rPr>
          <w:rStyle w:val="CharAttribute0"/>
          <w:b w:val="0"/>
        </w:rPr>
        <w:t>Board on 17</w:t>
      </w:r>
      <w:r w:rsidRPr="00857841">
        <w:rPr>
          <w:rStyle w:val="CharAttribute0"/>
          <w:b w:val="0"/>
          <w:vertAlign w:val="superscript"/>
        </w:rPr>
        <w:t>th</w:t>
      </w:r>
      <w:r w:rsidRPr="00857841">
        <w:rPr>
          <w:rStyle w:val="CharAttribute0"/>
          <w:b w:val="0"/>
        </w:rPr>
        <w:t xml:space="preserve"> March 2015 a number of Committees of the LEP were established and Terms of Referenc</w:t>
      </w:r>
      <w:r>
        <w:rPr>
          <w:rStyle w:val="CharAttribute0"/>
          <w:b w:val="0"/>
        </w:rPr>
        <w:t xml:space="preserve">e for each Committee approved. </w:t>
      </w:r>
    </w:p>
    <w:p w:rsidR="00857841" w:rsidRDefault="00E54F9B" w:rsidP="00E54F9B">
      <w:pPr>
        <w:pStyle w:val="NoSpacing"/>
        <w:jc w:val="both"/>
        <w:rPr>
          <w:rStyle w:val="CharAttribute0"/>
          <w:b w:val="0"/>
        </w:rPr>
      </w:pPr>
    </w:p>
    <w:p w:rsidR="00857841" w:rsidRPr="00857841" w:rsidRDefault="00E54F9B" w:rsidP="00E54F9B">
      <w:pPr>
        <w:pStyle w:val="NoSpacing"/>
        <w:jc w:val="both"/>
        <w:rPr>
          <w:rStyle w:val="CharAttribute0"/>
          <w:b w:val="0"/>
        </w:rPr>
      </w:pPr>
      <w:r>
        <w:rPr>
          <w:rStyle w:val="CharAttribute0"/>
          <w:b w:val="0"/>
        </w:rPr>
        <w:t>The Assurance Framework is reviewed regularly by the Board, most recen</w:t>
      </w:r>
      <w:r>
        <w:rPr>
          <w:rStyle w:val="CharAttribute0"/>
          <w:b w:val="0"/>
        </w:rPr>
        <w:t>tly at its meeting on the 24</w:t>
      </w:r>
      <w:r w:rsidRPr="00E54F9B">
        <w:rPr>
          <w:rStyle w:val="CharAttribute0"/>
          <w:b w:val="0"/>
          <w:vertAlign w:val="superscript"/>
        </w:rPr>
        <w:t>th</w:t>
      </w:r>
      <w:r>
        <w:rPr>
          <w:rStyle w:val="CharAttribute0"/>
          <w:b w:val="0"/>
        </w:rPr>
        <w:t xml:space="preserve"> </w:t>
      </w:r>
      <w:r>
        <w:rPr>
          <w:rStyle w:val="CharAttribute0"/>
          <w:b w:val="0"/>
        </w:rPr>
        <w:t xml:space="preserve">April 2018 with each Committees Terms of Reference being reviewed.  </w:t>
      </w:r>
    </w:p>
    <w:p w:rsidR="00857841" w:rsidRPr="00857841" w:rsidRDefault="00E54F9B" w:rsidP="00E54F9B">
      <w:pPr>
        <w:pStyle w:val="NoSpacing"/>
        <w:jc w:val="both"/>
        <w:rPr>
          <w:rStyle w:val="CharAttribute0"/>
          <w:b w:val="0"/>
        </w:rPr>
      </w:pPr>
    </w:p>
    <w:p w:rsidR="00857841" w:rsidRDefault="00E54F9B" w:rsidP="00E54F9B">
      <w:pPr>
        <w:pStyle w:val="NoSpacing"/>
        <w:jc w:val="both"/>
        <w:rPr>
          <w:rStyle w:val="CharAttribute0"/>
          <w:b w:val="0"/>
        </w:rPr>
      </w:pPr>
      <w:r>
        <w:rPr>
          <w:rStyle w:val="CharAttribute0"/>
          <w:b w:val="0"/>
        </w:rPr>
        <w:t>Following the appointment of a new chair to the Performance Committee, the Committee is asked to note its current Terms of Reference as currently contained w</w:t>
      </w:r>
      <w:r>
        <w:rPr>
          <w:rStyle w:val="CharAttribute0"/>
          <w:b w:val="0"/>
        </w:rPr>
        <w:t>ith the Assurance Framework.</w:t>
      </w:r>
    </w:p>
    <w:p w:rsidR="00E3037F" w:rsidRDefault="00E54F9B" w:rsidP="00E54F9B">
      <w:pPr>
        <w:pStyle w:val="NoSpacing"/>
        <w:jc w:val="both"/>
        <w:rPr>
          <w:rStyle w:val="CharAttribute0"/>
          <w:b w:val="0"/>
        </w:rPr>
      </w:pPr>
    </w:p>
    <w:p w:rsidR="00C1436E" w:rsidRPr="00ED571D" w:rsidRDefault="00E54F9B" w:rsidP="00C1436E">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C1436E" w:rsidRPr="00ED571D" w:rsidRDefault="00E54F9B" w:rsidP="00C1436E"/>
    <w:tbl>
      <w:tblPr>
        <w:tblW w:w="0" w:type="auto"/>
        <w:tblLayout w:type="fixed"/>
        <w:tblLook w:val="0000" w:firstRow="0" w:lastRow="0" w:firstColumn="0" w:lastColumn="0" w:noHBand="0" w:noVBand="0"/>
      </w:tblPr>
      <w:tblGrid>
        <w:gridCol w:w="3510"/>
        <w:gridCol w:w="2492"/>
        <w:gridCol w:w="3178"/>
      </w:tblGrid>
      <w:tr w:rsidR="00DE34AD" w:rsidTr="00331DDF">
        <w:tc>
          <w:tcPr>
            <w:tcW w:w="3510" w:type="dxa"/>
          </w:tcPr>
          <w:p w:rsidR="00C1436E" w:rsidRPr="00ED571D" w:rsidRDefault="00E54F9B"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C1436E" w:rsidRPr="00ED571D" w:rsidRDefault="00E54F9B"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C1436E" w:rsidRPr="00ED571D" w:rsidRDefault="00E54F9B"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DE34AD" w:rsidTr="00331DDF">
        <w:tc>
          <w:tcPr>
            <w:tcW w:w="3510" w:type="dxa"/>
          </w:tcPr>
          <w:p w:rsidR="00C1436E" w:rsidRPr="00ED571D" w:rsidRDefault="00E54F9B" w:rsidP="00331DDF">
            <w:pPr>
              <w:rPr>
                <w:color w:val="auto"/>
              </w:rPr>
            </w:pPr>
          </w:p>
          <w:p w:rsidR="00C1436E" w:rsidRPr="00ED571D" w:rsidRDefault="00E54F9B" w:rsidP="00331DDF">
            <w:pPr>
              <w:rPr>
                <w:color w:val="auto"/>
              </w:rPr>
            </w:pPr>
            <w:r>
              <w:rPr>
                <w:color w:val="auto"/>
              </w:rPr>
              <w:t>N/A</w:t>
            </w:r>
          </w:p>
          <w:p w:rsidR="00C1436E" w:rsidRPr="00ED571D" w:rsidRDefault="00E54F9B" w:rsidP="00331DDF">
            <w:pPr>
              <w:rPr>
                <w:color w:val="auto"/>
              </w:rPr>
            </w:pPr>
          </w:p>
        </w:tc>
        <w:tc>
          <w:tcPr>
            <w:tcW w:w="2492" w:type="dxa"/>
          </w:tcPr>
          <w:p w:rsidR="00C1436E" w:rsidRPr="00ED571D" w:rsidRDefault="00E54F9B" w:rsidP="00331DDF">
            <w:pPr>
              <w:rPr>
                <w:color w:val="auto"/>
              </w:rPr>
            </w:pPr>
          </w:p>
        </w:tc>
        <w:tc>
          <w:tcPr>
            <w:tcW w:w="3178" w:type="dxa"/>
          </w:tcPr>
          <w:p w:rsidR="00C1436E" w:rsidRPr="00ED571D" w:rsidRDefault="00E54F9B" w:rsidP="00331DDF">
            <w:pPr>
              <w:rPr>
                <w:color w:val="auto"/>
              </w:rPr>
            </w:pPr>
          </w:p>
        </w:tc>
      </w:tr>
      <w:tr w:rsidR="00DE34AD" w:rsidTr="00331DDF">
        <w:trPr>
          <w:cantSplit/>
        </w:trPr>
        <w:tc>
          <w:tcPr>
            <w:tcW w:w="9180" w:type="dxa"/>
            <w:gridSpan w:val="3"/>
          </w:tcPr>
          <w:p w:rsidR="00C1436E" w:rsidRPr="00ED571D" w:rsidRDefault="00E54F9B" w:rsidP="00331DDF"/>
          <w:p w:rsidR="00C1436E" w:rsidRPr="00ED571D" w:rsidRDefault="00E54F9B" w:rsidP="00331DDF">
            <w:r w:rsidRPr="00ED571D">
              <w:t xml:space="preserve">Reason for inclusion in Part II, if appropriate </w:t>
            </w:r>
          </w:p>
          <w:p w:rsidR="00C1436E" w:rsidRPr="00ED571D" w:rsidRDefault="00E54F9B" w:rsidP="00331DDF"/>
          <w:p w:rsidR="00C1436E" w:rsidRPr="00ED571D" w:rsidRDefault="00E54F9B" w:rsidP="00331DDF">
            <w:pPr>
              <w:rPr>
                <w:color w:val="auto"/>
              </w:rPr>
            </w:pPr>
            <w:r>
              <w:rPr>
                <w:color w:val="auto"/>
              </w:rPr>
              <w:t>N/A</w:t>
            </w:r>
          </w:p>
          <w:p w:rsidR="00C1436E" w:rsidRPr="00ED571D" w:rsidRDefault="00E54F9B" w:rsidP="00331DDF">
            <w:pPr>
              <w:jc w:val="both"/>
            </w:pPr>
          </w:p>
        </w:tc>
      </w:tr>
    </w:tbl>
    <w:p w:rsidR="00C1436E" w:rsidRDefault="00E54F9B"/>
    <w:sectPr w:rsidR="00C143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4F9B">
      <w:pPr>
        <w:spacing w:after="0" w:line="240" w:lineRule="auto"/>
      </w:pPr>
      <w:r>
        <w:separator/>
      </w:r>
    </w:p>
  </w:endnote>
  <w:endnote w:type="continuationSeparator" w:id="0">
    <w:p w:rsidR="00000000" w:rsidRDefault="00E5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4F9B">
      <w:pPr>
        <w:spacing w:after="0" w:line="240" w:lineRule="auto"/>
      </w:pPr>
      <w:r>
        <w:separator/>
      </w:r>
    </w:p>
  </w:footnote>
  <w:footnote w:type="continuationSeparator" w:id="0">
    <w:p w:rsidR="00000000" w:rsidRDefault="00E54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E54F9B">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79501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97A93C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D547EB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458618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770671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CC6CFB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9F8635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128A6E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938D61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F502D5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2DC22F71"/>
    <w:multiLevelType w:val="hybridMultilevel"/>
    <w:tmpl w:val="B2503050"/>
    <w:lvl w:ilvl="0" w:tplc="DF80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1F61709"/>
    <w:multiLevelType w:val="hybridMultilevel"/>
    <w:tmpl w:val="B79C6660"/>
    <w:lvl w:ilvl="0" w:tplc="F9F24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AD"/>
    <w:rsid w:val="00DE34AD"/>
    <w:rsid w:val="00E5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4549D-5568-4FB2-AA8A-FA855543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ParaAttribute2">
    <w:name w:val="ParaAttribute2"/>
    <w:rsid w:val="00857841"/>
    <w:pPr>
      <w:wordWrap w:val="0"/>
      <w:spacing w:after="5" w:line="240" w:lineRule="auto"/>
      <w:ind w:left="542" w:hanging="542"/>
    </w:pPr>
    <w:rPr>
      <w:rFonts w:ascii="Times New Roman" w:eastAsia="Batang" w:hAnsi="Times New Roman" w:cs="Times New Roman"/>
      <w:sz w:val="20"/>
      <w:szCs w:val="20"/>
      <w:lang w:eastAsia="en-GB"/>
    </w:rPr>
  </w:style>
  <w:style w:type="paragraph" w:customStyle="1" w:styleId="ParaAttribute7">
    <w:name w:val="ParaAttribute7"/>
    <w:rsid w:val="00857841"/>
    <w:pPr>
      <w:keepNext/>
      <w:keepLines/>
      <w:wordWrap w:val="0"/>
      <w:spacing w:before="40" w:after="0" w:line="240" w:lineRule="auto"/>
      <w:ind w:left="542" w:hanging="542"/>
    </w:pPr>
    <w:rPr>
      <w:rFonts w:ascii="Times New Roman" w:eastAsia="Batang" w:hAnsi="Times New Roman" w:cs="Times New Roman"/>
      <w:sz w:val="20"/>
      <w:szCs w:val="20"/>
      <w:lang w:eastAsia="en-GB"/>
    </w:rPr>
  </w:style>
  <w:style w:type="paragraph" w:customStyle="1" w:styleId="ParaAttribute9">
    <w:name w:val="ParaAttribute9"/>
    <w:rsid w:val="00857841"/>
    <w:pPr>
      <w:wordWrap w:val="0"/>
      <w:spacing w:after="5" w:line="240" w:lineRule="auto"/>
      <w:ind w:left="29" w:hanging="29"/>
    </w:pPr>
    <w:rPr>
      <w:rFonts w:ascii="Times New Roman" w:eastAsia="Batang" w:hAnsi="Times New Roman" w:cs="Times New Roman"/>
      <w:sz w:val="20"/>
      <w:szCs w:val="20"/>
      <w:lang w:eastAsia="en-GB"/>
    </w:rPr>
  </w:style>
  <w:style w:type="character" w:customStyle="1" w:styleId="CharAttribute10">
    <w:name w:val="CharAttribute10"/>
    <w:rsid w:val="00857841"/>
    <w:rPr>
      <w:rFonts w:ascii="Arial" w:eastAsia="Arial"/>
      <w:b/>
      <w:color w:val="000000"/>
      <w:sz w:val="24"/>
    </w:rPr>
  </w:style>
  <w:style w:type="character" w:customStyle="1" w:styleId="CharAttribute11">
    <w:name w:val="CharAttribute11"/>
    <w:rsid w:val="00857841"/>
    <w:rPr>
      <w:rFonts w:ascii="Arial" w:eastAsia="Calibri"/>
      <w:color w:val="000000"/>
      <w:sz w:val="24"/>
    </w:rPr>
  </w:style>
  <w:style w:type="character" w:customStyle="1" w:styleId="CharAttribute0">
    <w:name w:val="CharAttribute0"/>
    <w:rsid w:val="00857841"/>
    <w:rPr>
      <w:rFonts w:ascii="Arial" w:eastAsia="Calibri"/>
      <w:b/>
      <w:sz w:val="24"/>
    </w:rPr>
  </w:style>
  <w:style w:type="paragraph" w:styleId="BalloonText">
    <w:name w:val="Balloon Text"/>
    <w:basedOn w:val="Normal"/>
    <w:link w:val="BalloonTextChar"/>
    <w:uiPriority w:val="99"/>
    <w:semiHidden/>
    <w:unhideWhenUsed/>
    <w:rsid w:val="00661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B9"/>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2B71-2CA7-4FAB-93EC-C631880A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2015-06-25T10:41:00Z</dcterms:created>
  <dcterms:modified xsi:type="dcterms:W3CDTF">2018-05-15T12:56:00Z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Performance Committee</vt:lpwstr>
  </property>
  <property fmtid="{D5CDD505-2E9C-101B-9397-08002B2CF9AE}" pid="3" name="IssueTitle">
    <vt:lpwstr>Performance CommitteeTerms of Reference Review</vt:lpwstr>
  </property>
  <property fmtid="{D5CDD505-2E9C-101B-9397-08002B2CF9AE}" pid="4" name="LeadOfficer">
    <vt:lpwstr>Kathryn Molloy</vt:lpwstr>
  </property>
  <property fmtid="{D5CDD505-2E9C-101B-9397-08002B2CF9AE}" pid="5" name="LeadOfficerEmail">
    <vt:lpwstr>kathryn.molloy@lancashire.gov.uk</vt:lpwstr>
  </property>
  <property fmtid="{D5CDD505-2E9C-101B-9397-08002B2CF9AE}" pid="6" name="LeadOfficerTel">
    <vt:lpwstr>Tel: 01772 538790</vt:lpwstr>
  </property>
  <property fmtid="{D5CDD505-2E9C-101B-9397-08002B2CF9AE}" pid="7" name="MeetingDate">
    <vt:lpwstr>Tuesday, 22 May 2018</vt:lpwstr>
  </property>
</Properties>
</file>